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2A1CAF" w:rsidRPr="007B66D2" w:rsidRDefault="00832210" w:rsidP="002A1CAF">
          <w:pPr>
            <w:spacing w:after="0"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="Sylfaen" w:hAnsi="Sylfaen" w:cs="Arial"/>
              <w:b/>
              <w:sz w:val="20"/>
              <w:szCs w:val="20"/>
              <w:lang w:val="ka-GE"/>
            </w:rPr>
            <w:t>„კავკასიის ქარის კომპანია“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proofErr w:type="spellStart"/>
          <w:r w:rsidR="00222315" w:rsidRPr="007B66D2">
            <w:rPr>
              <w:rFonts w:ascii="Sylfaen" w:hAnsi="Sylfaen" w:cs="Sylfaen"/>
              <w:b/>
              <w:sz w:val="20"/>
              <w:szCs w:val="20"/>
            </w:rPr>
            <w:t>აცხადებს</w:t>
          </w:r>
          <w:proofErr w:type="spellEnd"/>
          <w:r w:rsidR="00222315" w:rsidRPr="007B66D2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spellStart"/>
          <w:r w:rsidR="00222315" w:rsidRPr="007B66D2">
            <w:rPr>
              <w:rFonts w:ascii="Sylfaen" w:hAnsi="Sylfaen" w:cs="Sylfaen"/>
              <w:b/>
              <w:sz w:val="20"/>
              <w:szCs w:val="20"/>
            </w:rPr>
            <w:t>კონკურსს</w:t>
          </w:r>
          <w:proofErr w:type="spellEnd"/>
          <w:r w:rsidR="00222315"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szCs w:val="20"/>
              <w:lang w:val="ka-GE"/>
            </w:rPr>
            <w:t>სამშენებლო სამუშაოების</w:t>
          </w:r>
          <w:r w:rsidR="006560D5">
            <w:rPr>
              <w:rFonts w:ascii="Sylfaen" w:hAnsi="Sylfaen" w:cs="Sylfaen"/>
              <w:b/>
              <w:sz w:val="20"/>
              <w:szCs w:val="20"/>
              <w:lang w:val="ka-GE"/>
            </w:rPr>
            <w:t xml:space="preserve"> </w:t>
          </w:r>
          <w:r w:rsidR="00863FF7">
            <w:rPr>
              <w:rFonts w:ascii="Sylfaen" w:hAnsi="Sylfaen" w:cs="Sylfaen"/>
              <w:b/>
              <w:sz w:val="20"/>
              <w:szCs w:val="20"/>
              <w:lang w:val="ka-GE"/>
            </w:rPr>
            <w:t>ჩატარების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bookmarkStart w:id="0" w:name="_Toc456185562"/>
          <w:r w:rsidR="006560D5">
            <w:rPr>
              <w:rFonts w:ascii="Sylfaen" w:hAnsi="Sylfaen" w:cs="Arial"/>
              <w:b/>
              <w:sz w:val="20"/>
              <w:szCs w:val="20"/>
              <w:lang w:val="ka-GE"/>
            </w:rPr>
            <w:t xml:space="preserve">შესყიდვის </w:t>
          </w:r>
          <w:r w:rsidR="00222315"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თ</w:t>
          </w:r>
          <w:proofErr w:type="spellStart"/>
          <w:r w:rsidR="002A1CAF" w:rsidRPr="007B66D2">
            <w:rPr>
              <w:rFonts w:ascii="Sylfaen" w:hAnsi="Sylfaen" w:cs="Sylfaen"/>
              <w:b/>
              <w:bCs/>
              <w:sz w:val="20"/>
              <w:szCs w:val="20"/>
            </w:rPr>
            <w:t>აობაზე</w:t>
          </w:r>
          <w:proofErr w:type="spellEnd"/>
        </w:p>
        <w:p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832210">
            <w:rPr>
              <w:rFonts w:asciiTheme="minorHAnsi" w:hAnsiTheme="minorHAnsi"/>
              <w:b/>
              <w:color w:val="000000"/>
              <w:sz w:val="20"/>
              <w:szCs w:val="20"/>
            </w:rPr>
            <w:t>CWC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-00</w:t>
          </w:r>
          <w:r w:rsidR="00863FF7">
            <w:rPr>
              <w:rFonts w:asciiTheme="minorHAnsi" w:hAnsiTheme="minorHAnsi"/>
              <w:b/>
              <w:color w:val="000000"/>
              <w:sz w:val="20"/>
              <w:szCs w:val="20"/>
            </w:rPr>
            <w:t>2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FC6A6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B66D2" w:rsidRPr="007B66D2" w:rsidRDefault="00832210" w:rsidP="00832210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="Sylfaen" w:hAnsi="Sylfaen" w:cs="Arial"/>
          <w:b/>
          <w:sz w:val="20"/>
          <w:szCs w:val="20"/>
        </w:rPr>
        <w:t>სს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„კავკასიის ქარის </w:t>
      </w:r>
      <w:proofErr w:type="gramStart"/>
      <w:r>
        <w:rPr>
          <w:rFonts w:ascii="Sylfaen" w:hAnsi="Sylfaen" w:cs="Arial"/>
          <w:b/>
          <w:sz w:val="20"/>
          <w:szCs w:val="20"/>
          <w:lang w:val="ka-GE"/>
        </w:rPr>
        <w:t>კომპანია“</w:t>
      </w:r>
      <w:r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აცხადებს</w:t>
      </w:r>
      <w:proofErr w:type="spellEnd"/>
      <w:proofErr w:type="gramEnd"/>
      <w:r w:rsidRPr="007B66D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კონკურსს</w:t>
      </w:r>
      <w:proofErr w:type="spellEnd"/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სამშენებლო სამუშაოების </w:t>
      </w:r>
      <w:r w:rsidR="00863FF7">
        <w:rPr>
          <w:rFonts w:ascii="Sylfaen" w:hAnsi="Sylfaen" w:cs="Sylfaen"/>
          <w:b/>
          <w:sz w:val="20"/>
          <w:szCs w:val="20"/>
          <w:lang w:val="ka-GE"/>
        </w:rPr>
        <w:t>ჩატარების</w:t>
      </w:r>
      <w:r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="00832210">
        <w:rPr>
          <w:rFonts w:asciiTheme="minorHAnsi" w:hAnsiTheme="minorHAnsi"/>
          <w:b/>
          <w:color w:val="000000"/>
          <w:sz w:val="20"/>
          <w:szCs w:val="20"/>
        </w:rPr>
        <w:t>CWC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-00</w:t>
      </w:r>
      <w:r w:rsidR="00863FF7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B3543E" w:rsidRPr="00832210" w:rsidRDefault="00832210" w:rsidP="00832210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ს</w:t>
      </w:r>
      <w:r w:rsidR="00B3543E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ს</w:t>
      </w:r>
      <w:proofErr w:type="spellEnd"/>
      <w:r w:rsidR="00B3543E" w:rsidRPr="006560D5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კავკასიის</w:t>
      </w:r>
      <w:proofErr w:type="spellEnd"/>
      <w:r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ქარის</w:t>
      </w:r>
      <w:proofErr w:type="spellEnd"/>
      <w:r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კომპანია</w:t>
      </w:r>
      <w:proofErr w:type="spellEnd"/>
      <w:r w:rsidR="00B3543E" w:rsidRPr="006560D5">
        <w:rPr>
          <w:rStyle w:val="Heading2Char"/>
          <w:color w:val="auto"/>
          <w:sz w:val="20"/>
          <w:szCs w:val="20"/>
        </w:rPr>
        <w:t>”</w:t>
      </w:r>
      <w:r w:rsidR="00B3543E" w:rsidRPr="006560D5">
        <w:rPr>
          <w:rFonts w:ascii="AcadNusx" w:hAnsi="AcadNusx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CWC</w:t>
      </w:r>
      <w:r w:rsidR="00B3543E" w:rsidRPr="006560D5">
        <w:rPr>
          <w:rFonts w:asciiTheme="minorHAnsi" w:hAnsiTheme="minorHAnsi"/>
          <w:sz w:val="20"/>
          <w:szCs w:val="20"/>
        </w:rPr>
        <w:t>)</w:t>
      </w:r>
      <w:r w:rsidR="00B3543E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6560D5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6560D5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863FF7">
        <w:rPr>
          <w:rFonts w:ascii="Sylfaen" w:hAnsi="Sylfaen" w:cs="Sylfaen"/>
          <w:b/>
          <w:sz w:val="20"/>
          <w:szCs w:val="20"/>
          <w:lang w:val="ka-GE"/>
        </w:rPr>
        <w:t>სამშ</w:t>
      </w:r>
      <w:r>
        <w:rPr>
          <w:rFonts w:ascii="Sylfaen" w:hAnsi="Sylfaen" w:cs="Sylfaen"/>
          <w:b/>
          <w:sz w:val="20"/>
          <w:szCs w:val="20"/>
          <w:lang w:val="ka-GE"/>
        </w:rPr>
        <w:t>ენებლო სამუშაოების</w:t>
      </w:r>
      <w:r w:rsidR="00863FF7">
        <w:rPr>
          <w:rFonts w:ascii="Sylfaen" w:hAnsi="Sylfaen" w:cs="Sylfaen"/>
          <w:b/>
          <w:sz w:val="20"/>
          <w:szCs w:val="20"/>
          <w:lang w:val="ka-GE"/>
        </w:rPr>
        <w:t xml:space="preserve"> ჩატარების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იწვევს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(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832210">
        <w:rPr>
          <w:rFonts w:ascii="Sylfaen" w:hAnsi="Sylfaen" w:cs="Sylfaen"/>
          <w:sz w:val="20"/>
          <w:szCs w:val="20"/>
        </w:rPr>
        <w:t>ხერჯთ</w:t>
      </w:r>
      <w:r w:rsidR="00B3543E" w:rsidRPr="00832210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ფორმაში</w:t>
      </w:r>
      <w:proofErr w:type="spellEnd"/>
      <w:r w:rsidR="00B3543E" w:rsidRPr="00832210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832210">
        <w:rPr>
          <w:rFonts w:asciiTheme="minorHAnsi" w:hAnsiTheme="minorHAnsi" w:cstheme="minorHAnsi"/>
          <w:b/>
          <w:color w:val="000000"/>
          <w:sz w:val="20"/>
          <w:szCs w:val="20"/>
        </w:rPr>
        <w:t>CWC</w:t>
      </w:r>
      <w:r w:rsidR="007B2900">
        <w:rPr>
          <w:rFonts w:asciiTheme="minorHAnsi" w:hAnsiTheme="minorHAnsi" w:cstheme="minorHAnsi"/>
          <w:b/>
          <w:color w:val="000000"/>
          <w:sz w:val="20"/>
          <w:szCs w:val="20"/>
        </w:rPr>
        <w:t>-0</w:t>
      </w:r>
      <w:r w:rsidR="00863FF7">
        <w:rPr>
          <w:rFonts w:asciiTheme="minorHAnsi" w:hAnsiTheme="minorHAnsi" w:cstheme="minorHAnsi"/>
          <w:b/>
          <w:color w:val="000000"/>
          <w:sz w:val="20"/>
          <w:szCs w:val="20"/>
        </w:rPr>
        <w:t>02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BB7AA8">
        <w:rPr>
          <w:rFonts w:ascii="Sylfaen" w:hAnsi="Sylfaen"/>
          <w:sz w:val="20"/>
          <w:szCs w:val="20"/>
          <w:lang w:val="ka-GE"/>
        </w:rPr>
        <w:t>3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BB7AA8">
        <w:rPr>
          <w:rFonts w:ascii="Sylfaen" w:hAnsi="Sylfaen"/>
          <w:sz w:val="20"/>
          <w:szCs w:val="20"/>
          <w:lang w:val="ka-GE"/>
        </w:rPr>
        <w:t>სამი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BB7AA8" w:rsidRDefault="00BB7AA8" w:rsidP="00BB7AA8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cs="Calibri"/>
          <w:b/>
          <w:sz w:val="20"/>
          <w:szCs w:val="20"/>
          <w:u w:val="single"/>
          <w:lang w:val="ka-GE"/>
        </w:rPr>
        <w:t>1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სამშენებლო სამუშაოები (კასპი)</w:t>
      </w:r>
    </w:p>
    <w:p w:rsidR="00BB7AA8" w:rsidRDefault="00BB7AA8" w:rsidP="00BB7AA8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cs="Calibri"/>
          <w:b/>
          <w:sz w:val="20"/>
          <w:szCs w:val="20"/>
          <w:u w:val="single"/>
          <w:lang w:val="ka-GE"/>
        </w:rPr>
        <w:t>2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სამშენებლო სამუშაოები</w:t>
      </w:r>
      <w:r>
        <w:rPr>
          <w:rFonts w:ascii="Sylfaen" w:hAnsi="Sylfaen" w:cs="Sylfaen"/>
          <w:b/>
          <w:sz w:val="20"/>
          <w:szCs w:val="20"/>
        </w:rPr>
        <w:t xml:space="preserve"> (</w:t>
      </w:r>
      <w:r>
        <w:rPr>
          <w:rFonts w:ascii="Sylfaen" w:hAnsi="Sylfaen" w:cs="Sylfaen"/>
          <w:b/>
          <w:sz w:val="20"/>
          <w:szCs w:val="20"/>
          <w:lang w:val="ka-GE"/>
        </w:rPr>
        <w:t>ფლევი)</w:t>
      </w:r>
    </w:p>
    <w:p w:rsidR="00BB7AA8" w:rsidRDefault="00BB7AA8" w:rsidP="00BB7AA8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cs="Calibri"/>
          <w:b/>
          <w:sz w:val="20"/>
          <w:szCs w:val="20"/>
          <w:u w:val="single"/>
          <w:lang w:val="ka-GE"/>
        </w:rPr>
        <w:t>3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სამშენებლო სამუშაოები (თელოვანი)</w:t>
      </w:r>
    </w:p>
    <w:p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7B66D2" w:rsidRDefault="00832210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ჩასატარებელი სამშენებლო სამუშაოების</w:t>
      </w:r>
      <w:r w:rsidR="00EF2259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0CB1">
        <w:rPr>
          <w:rStyle w:val="Heading2Char"/>
          <w:rFonts w:ascii="Sylfaen" w:hAnsi="Sylfaen" w:cs="Sylfaen"/>
          <w:color w:val="auto"/>
          <w:sz w:val="20"/>
          <w:szCs w:val="20"/>
        </w:rPr>
        <w:t>ადგილმდებარეობა</w:t>
      </w:r>
      <w:proofErr w:type="spellEnd"/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271CF1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>
        <w:rPr>
          <w:rFonts w:ascii="Sylfaen" w:eastAsiaTheme="majorEastAsia" w:hAnsi="Sylfaen" w:cs="Sylfaen"/>
          <w:sz w:val="20"/>
          <w:szCs w:val="20"/>
          <w:lang w:val="ka-GE"/>
        </w:rPr>
        <w:t>კასპი</w:t>
      </w:r>
      <w:r w:rsidR="00FE355D" w:rsidRPr="007B66D2">
        <w:rPr>
          <w:rFonts w:ascii="Sylfaen" w:eastAsiaTheme="majorEastAsia" w:hAnsi="Sylfaen" w:cs="Sylfaen"/>
          <w:sz w:val="20"/>
          <w:szCs w:val="20"/>
          <w:lang w:val="ka-GE"/>
        </w:rPr>
        <w:t>.</w:t>
      </w:r>
    </w:p>
    <w:p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proofErr w:type="spellEnd"/>
      <w:r w:rsidR="00832210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ებში</w:t>
      </w:r>
    </w:p>
    <w:p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7C7A9D" w:rsidRPr="00832210" w:rsidRDefault="007C7A9D" w:rsidP="00832210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2900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BB7AA8">
        <w:rPr>
          <w:rFonts w:ascii="Sylfaen" w:hAnsi="Sylfaen" w:cstheme="minorHAnsi"/>
          <w:b/>
          <w:sz w:val="20"/>
          <w:szCs w:val="20"/>
          <w:lang w:val="ka-GE"/>
        </w:rPr>
        <w:t>7</w:t>
      </w:r>
      <w:bookmarkStart w:id="1" w:name="_GoBack"/>
      <w:bookmarkEnd w:id="1"/>
      <w:r w:rsidR="007B2900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832210"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  <w:r w:rsidR="00BC0803" w:rsidRPr="0083221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="00BC0803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Pr="00832210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832210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2" w:name="_Toc456185564"/>
      <w:r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B3543E" w:rsidRPr="007B66D2">
        <w:rPr>
          <w:rFonts w:cs="Calibri"/>
          <w:sz w:val="20"/>
          <w:szCs w:val="20"/>
          <w:lang w:val="ka-GE"/>
        </w:rPr>
        <w:t>”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="00B3543E"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832210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543E" w:rsidRPr="007B66D2">
        <w:rPr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="00B3543E" w:rsidRPr="007B66D2">
        <w:rPr>
          <w:sz w:val="20"/>
          <w:szCs w:val="20"/>
          <w:lang w:val="ka-GE"/>
        </w:rPr>
        <w:t>-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543E" w:rsidRPr="007B66D2">
        <w:rPr>
          <w:sz w:val="20"/>
          <w:szCs w:val="20"/>
          <w:lang w:val="ka-GE"/>
        </w:rPr>
        <w:t>.</w:t>
      </w:r>
    </w:p>
    <w:p w:rsidR="00B3543E" w:rsidRPr="007B66D2" w:rsidRDefault="00832210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543E" w:rsidRPr="007B66D2">
        <w:rPr>
          <w:sz w:val="20"/>
          <w:szCs w:val="20"/>
          <w:lang w:val="ka-GE"/>
        </w:rPr>
        <w:t xml:space="preserve">.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543E"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2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832210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 xml:space="preserve">ნემისმიერი ტიპის </w:t>
      </w:r>
      <w:r w:rsidR="00765A9D">
        <w:rPr>
          <w:rFonts w:ascii="Sylfaen" w:hAnsi="Sylfaen" w:cs="Calibri"/>
          <w:b/>
          <w:sz w:val="20"/>
          <w:szCs w:val="20"/>
          <w:lang w:val="ka-GE"/>
        </w:rPr>
        <w:t>ტექ</w:t>
      </w:r>
      <w:r>
        <w:rPr>
          <w:rFonts w:ascii="Sylfaen" w:hAnsi="Sylfaen" w:cs="Calibri"/>
          <w:b/>
          <w:sz w:val="20"/>
          <w:szCs w:val="20"/>
          <w:lang w:val="ka-GE"/>
        </w:rPr>
        <w:t>ნიკურ საკითხებზე საკონტაქტო პირები</w:t>
      </w:r>
      <w:r w:rsidR="00765A9D">
        <w:rPr>
          <w:rFonts w:ascii="Sylfaen" w:hAnsi="Sylfaen" w:cs="Calibri"/>
          <w:b/>
          <w:sz w:val="20"/>
          <w:szCs w:val="20"/>
          <w:lang w:val="ka-GE"/>
        </w:rPr>
        <w:t>:</w:t>
      </w:r>
    </w:p>
    <w:p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832210" w:rsidRPr="00832210" w:rsidRDefault="00832210" w:rsidP="00832210">
      <w:pPr>
        <w:spacing w:after="0" w:line="240" w:lineRule="auto"/>
        <w:rPr>
          <w:rFonts w:ascii="Sylfaen" w:hAnsi="Sylfaen" w:cs="Calibri"/>
          <w:sz w:val="24"/>
          <w:szCs w:val="24"/>
          <w:u w:val="single"/>
          <w:lang w:val="ka-GE"/>
        </w:rPr>
      </w:pPr>
      <w:r w:rsidRPr="00832210">
        <w:rPr>
          <w:rFonts w:ascii="Sylfaen" w:hAnsi="Sylfaen" w:cs="Sylfaen"/>
          <w:sz w:val="24"/>
          <w:szCs w:val="24"/>
          <w:u w:val="single"/>
          <w:lang w:val="ka-GE"/>
        </w:rPr>
        <w:t>გიორგი</w:t>
      </w:r>
      <w:r w:rsidRPr="00832210">
        <w:rPr>
          <w:rFonts w:cs="Calibri"/>
          <w:sz w:val="24"/>
          <w:szCs w:val="24"/>
          <w:u w:val="single"/>
          <w:lang w:val="ka-GE"/>
        </w:rPr>
        <w:t xml:space="preserve"> </w:t>
      </w:r>
      <w:r w:rsidRPr="00832210">
        <w:rPr>
          <w:rFonts w:ascii="Sylfaen" w:hAnsi="Sylfaen" w:cs="Sylfaen"/>
          <w:sz w:val="24"/>
          <w:szCs w:val="24"/>
          <w:u w:val="single"/>
          <w:lang w:val="ka-GE"/>
        </w:rPr>
        <w:t>მეტრეველი</w:t>
      </w:r>
      <w:r w:rsidRPr="00832210">
        <w:rPr>
          <w:rFonts w:cs="Calibri"/>
          <w:sz w:val="24"/>
          <w:szCs w:val="24"/>
          <w:u w:val="single"/>
          <w:lang w:val="ka-GE"/>
        </w:rPr>
        <w:t xml:space="preserve"> - </w:t>
      </w:r>
      <w:r w:rsidRPr="00832210">
        <w:rPr>
          <w:rFonts w:ascii="Sylfaen" w:hAnsi="Sylfaen" w:cs="Calibri"/>
          <w:sz w:val="24"/>
          <w:szCs w:val="24"/>
          <w:u w:val="single"/>
          <w:lang w:val="ka-GE"/>
        </w:rPr>
        <w:t>574 24 02 00</w:t>
      </w:r>
    </w:p>
    <w:p w:rsidR="00832210" w:rsidRPr="00832210" w:rsidRDefault="00832210" w:rsidP="00832210">
      <w:pPr>
        <w:spacing w:after="0" w:line="240" w:lineRule="auto"/>
        <w:rPr>
          <w:rFonts w:ascii="Sylfaen" w:hAnsi="Sylfaen" w:cs="Calibri"/>
          <w:sz w:val="24"/>
          <w:szCs w:val="24"/>
          <w:u w:val="single"/>
          <w:lang w:val="ka-GE"/>
        </w:rPr>
      </w:pPr>
      <w:r w:rsidRPr="00832210">
        <w:rPr>
          <w:rFonts w:ascii="Sylfaen" w:hAnsi="Sylfaen" w:cs="Sylfaen"/>
          <w:sz w:val="24"/>
          <w:szCs w:val="24"/>
          <w:u w:val="single"/>
          <w:lang w:val="ka-GE"/>
        </w:rPr>
        <w:t>დავით მეზვრიშვილი</w:t>
      </w:r>
      <w:r w:rsidRPr="00832210">
        <w:rPr>
          <w:rFonts w:cs="Calibri"/>
          <w:sz w:val="24"/>
          <w:szCs w:val="24"/>
          <w:u w:val="single"/>
          <w:lang w:val="ka-GE"/>
        </w:rPr>
        <w:t xml:space="preserve"> - </w:t>
      </w:r>
      <w:r w:rsidRPr="00832210">
        <w:rPr>
          <w:rFonts w:ascii="Sylfaen" w:hAnsi="Sylfaen" w:cs="Calibri"/>
          <w:sz w:val="24"/>
          <w:szCs w:val="24"/>
          <w:u w:val="single"/>
          <w:lang w:val="ka-GE"/>
        </w:rPr>
        <w:t>595 55 61 00</w:t>
      </w:r>
    </w:p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მიხეილ იაშაღაშვილი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0" w:history="1">
        <w:r w:rsidRPr="00945B95">
          <w:rPr>
            <w:rStyle w:val="Hyperlink"/>
            <w:rFonts w:cs="Calibri"/>
            <w:sz w:val="20"/>
            <w:szCs w:val="20"/>
            <w:lang w:val="ka-GE"/>
          </w:rPr>
          <w:t>miashagh</w:t>
        </w:r>
        <w:r w:rsidRPr="00945B95">
          <w:rPr>
            <w:rStyle w:val="Hyperlink"/>
            <w:rFonts w:cs="Calibri"/>
            <w:sz w:val="20"/>
            <w:szCs w:val="20"/>
          </w:rPr>
          <w:t>ashvili</w:t>
        </w:r>
        <w:r w:rsidRPr="00945B95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7B0CB1" w:rsidRPr="004014FF" w:rsidRDefault="007B0CB1" w:rsidP="007B0CB1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3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>593 903233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6560D5" w:rsidRDefault="006560D5" w:rsidP="006560D5"/>
    <w:p w:rsidR="006560D5" w:rsidRPr="006560D5" w:rsidRDefault="006560D5" w:rsidP="006560D5"/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lastRenderedPageBreak/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832210">
        <w:rPr>
          <w:rFonts w:ascii="Sylfaen" w:hAnsi="Sylfaen" w:cs="Sylfaen"/>
          <w:sz w:val="20"/>
          <w:szCs w:val="20"/>
        </w:rPr>
        <w:t>ს</w:t>
      </w:r>
      <w:r w:rsidR="00B3543E" w:rsidRPr="007B66D2">
        <w:rPr>
          <w:rFonts w:ascii="Sylfaen" w:hAnsi="Sylfaen" w:cs="Sylfaen"/>
          <w:sz w:val="20"/>
          <w:szCs w:val="20"/>
        </w:rPr>
        <w:t>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832210"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ს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კავკასიის</w:t>
      </w:r>
      <w:proofErr w:type="spellEnd"/>
      <w:r w:rsidR="00CD3AE3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ქარის</w:t>
      </w:r>
      <w:proofErr w:type="spellEnd"/>
      <w:r w:rsidR="00CD3AE3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კომპანიის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</w:t>
      </w:r>
      <w:proofErr w:type="gramStart"/>
      <w:r w:rsidR="00A67348">
        <w:rPr>
          <w:rFonts w:ascii="Sylfaen" w:hAnsi="Sylfaen"/>
          <w:sz w:val="20"/>
          <w:szCs w:val="20"/>
          <w:lang w:val="ka-GE"/>
        </w:rPr>
        <w:t>განფასების“ ფაილი</w:t>
      </w:r>
      <w:proofErr w:type="gramEnd"/>
      <w:r w:rsidR="00A67348">
        <w:rPr>
          <w:rFonts w:ascii="Sylfaen" w:hAnsi="Sylfaen"/>
          <w:sz w:val="20"/>
          <w:szCs w:val="20"/>
          <w:lang w:val="ka-GE"/>
        </w:rPr>
        <w:t>)</w:t>
      </w:r>
    </w:p>
    <w:p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CD3AE3"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A948F9" w:rsidRDefault="00A948F9" w:rsidP="008D2BFD">
      <w:pPr>
        <w:rPr>
          <w:rFonts w:ascii="AcadMtavr" w:hAnsi="AcadMtavr"/>
          <w:sz w:val="20"/>
          <w:szCs w:val="20"/>
        </w:rPr>
      </w:pPr>
    </w:p>
    <w:p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CD3AE3">
        <w:rPr>
          <w:rFonts w:ascii="Sylfaen" w:hAnsi="Sylfaen" w:cs="Sylfaen"/>
          <w:sz w:val="20"/>
          <w:szCs w:val="20"/>
        </w:rPr>
        <w:t>სამუშ</w:t>
      </w:r>
      <w:r w:rsidR="00B3543E" w:rsidRPr="007B66D2">
        <w:rPr>
          <w:rFonts w:ascii="Sylfaen" w:hAnsi="Sylfaen" w:cs="Sylfaen"/>
          <w:sz w:val="20"/>
          <w:szCs w:val="20"/>
        </w:rPr>
        <w:t>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863FF7" w:rsidRDefault="00863FF7" w:rsidP="008D2BFD">
      <w:pPr>
        <w:rPr>
          <w:rFonts w:ascii="AcadMtavr" w:hAnsi="AcadMtavr"/>
          <w:sz w:val="20"/>
          <w:szCs w:val="20"/>
        </w:rPr>
      </w:pPr>
    </w:p>
    <w:p w:rsidR="00863FF7" w:rsidRDefault="00863FF7" w:rsidP="008D2BFD">
      <w:pPr>
        <w:rPr>
          <w:rFonts w:ascii="AcadMtavr" w:hAnsi="AcadMtavr"/>
          <w:sz w:val="20"/>
          <w:szCs w:val="20"/>
        </w:rPr>
      </w:pPr>
    </w:p>
    <w:p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CD3AE3" w:rsidP="008D2BFD">
      <w:pPr>
        <w:rPr>
          <w:i/>
          <w:sz w:val="20"/>
          <w:szCs w:val="20"/>
        </w:rPr>
      </w:pPr>
      <w:proofErr w:type="spellStart"/>
      <w:r>
        <w:rPr>
          <w:rFonts w:ascii="Sylfaen" w:hAnsi="Sylfaen" w:cs="Sylfaen"/>
          <w:i/>
          <w:sz w:val="20"/>
          <w:szCs w:val="20"/>
        </w:rPr>
        <w:t>ს</w:t>
      </w:r>
      <w:r w:rsidR="00B3543E" w:rsidRPr="007B66D2">
        <w:rPr>
          <w:rFonts w:ascii="Sylfaen" w:hAnsi="Sylfaen" w:cs="Sylfaen"/>
          <w:i/>
          <w:sz w:val="20"/>
          <w:szCs w:val="20"/>
        </w:rPr>
        <w:t>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>
        <w:rPr>
          <w:rFonts w:ascii="Sylfaen" w:hAnsi="Sylfaen" w:cs="Sylfaen"/>
          <w:i/>
          <w:sz w:val="20"/>
          <w:szCs w:val="20"/>
        </w:rPr>
        <w:t>კავკასიის</w:t>
      </w:r>
      <w:proofErr w:type="spellEnd"/>
      <w:r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i/>
          <w:sz w:val="20"/>
          <w:szCs w:val="20"/>
        </w:rPr>
        <w:t>ქარის</w:t>
      </w:r>
      <w:proofErr w:type="spellEnd"/>
      <w:r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i/>
          <w:sz w:val="20"/>
          <w:szCs w:val="20"/>
        </w:rPr>
        <w:t>კომპანია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69" w:rsidRDefault="00FC6A69" w:rsidP="007902EA">
      <w:pPr>
        <w:spacing w:after="0" w:line="240" w:lineRule="auto"/>
      </w:pPr>
      <w:r>
        <w:separator/>
      </w:r>
    </w:p>
  </w:endnote>
  <w:endnote w:type="continuationSeparator" w:id="0">
    <w:p w:rsidR="00FC6A69" w:rsidRDefault="00FC6A6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69" w:rsidRDefault="00FC6A69" w:rsidP="007902EA">
      <w:pPr>
        <w:spacing w:after="0" w:line="240" w:lineRule="auto"/>
      </w:pPr>
      <w:r>
        <w:separator/>
      </w:r>
    </w:p>
  </w:footnote>
  <w:footnote w:type="continuationSeparator" w:id="0">
    <w:p w:rsidR="00FC6A69" w:rsidRDefault="00FC6A6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F7" w:rsidRDefault="007A6520" w:rsidP="00863FF7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  <w:r>
      <w:rPr>
        <w:rFonts w:ascii="Sylfaen" w:hAnsi="Sylfaen"/>
        <w:noProof/>
        <w:lang w:val="ka-GE"/>
      </w:rPr>
      <w:t xml:space="preserve">            </w:t>
    </w:r>
    <w:r w:rsidR="00863FF7">
      <w:rPr>
        <w:rFonts w:ascii="Sylfaen" w:hAnsi="Sylfaen" w:cs="Sylfaen"/>
        <w:b/>
        <w:bCs/>
        <w:sz w:val="28"/>
        <w:szCs w:val="28"/>
        <w:lang w:val="ka-GE"/>
      </w:rPr>
      <w:t>კონკურსი</w:t>
    </w:r>
    <w:r w:rsidR="00863FF7" w:rsidRPr="00B2491E">
      <w:rPr>
        <w:rFonts w:ascii="Sylfaen" w:hAnsi="Sylfaen" w:cs="Sylfaen"/>
        <w:b/>
        <w:bCs/>
        <w:sz w:val="28"/>
        <w:szCs w:val="28"/>
        <w:lang w:val="ka-GE"/>
      </w:rPr>
      <w:t xml:space="preserve"> </w:t>
    </w:r>
    <w:r w:rsidR="00863FF7">
      <w:rPr>
        <w:rFonts w:ascii="Sylfaen" w:hAnsi="Sylfaen" w:cs="Sylfaen"/>
        <w:b/>
        <w:bCs/>
        <w:sz w:val="28"/>
        <w:szCs w:val="28"/>
        <w:lang w:val="ka-GE"/>
      </w:rPr>
      <w:t>სამშენებლო სამუშაოების</w:t>
    </w:r>
    <w:r w:rsidR="00863FF7" w:rsidRPr="00B2491E">
      <w:rPr>
        <w:rFonts w:ascii="Sylfaen" w:hAnsi="Sylfaen" w:cs="Sylfaen"/>
        <w:b/>
        <w:bCs/>
        <w:sz w:val="28"/>
        <w:szCs w:val="28"/>
        <w:lang w:val="ka-GE"/>
      </w:rPr>
      <w:t xml:space="preserve"> </w:t>
    </w:r>
    <w:r w:rsidR="00863FF7">
      <w:rPr>
        <w:rFonts w:ascii="Sylfaen" w:hAnsi="Sylfaen" w:cs="Sylfaen"/>
        <w:b/>
        <w:bCs/>
        <w:sz w:val="28"/>
        <w:szCs w:val="28"/>
        <w:lang w:val="ka-GE"/>
      </w:rPr>
      <w:t xml:space="preserve"> ჩატარების შესყიდვის თაობაზე</w:t>
    </w:r>
  </w:p>
  <w:p w:rsidR="00863FF7" w:rsidRPr="000B1CE9" w:rsidRDefault="00863FF7" w:rsidP="00863FF7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</w:p>
  <w:p w:rsidR="006560D5" w:rsidRDefault="006560D5" w:rsidP="00863FF7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A7017"/>
    <w:rsid w:val="003B1479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6520"/>
    <w:rsid w:val="007A7424"/>
    <w:rsid w:val="007B0CB1"/>
    <w:rsid w:val="007B2900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2210"/>
    <w:rsid w:val="00833770"/>
    <w:rsid w:val="0083614B"/>
    <w:rsid w:val="008401B6"/>
    <w:rsid w:val="00855658"/>
    <w:rsid w:val="00863FF7"/>
    <w:rsid w:val="00867825"/>
    <w:rsid w:val="00870473"/>
    <w:rsid w:val="008751D7"/>
    <w:rsid w:val="00876B9D"/>
    <w:rsid w:val="0088007A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948F9"/>
    <w:rsid w:val="00AE5FAA"/>
    <w:rsid w:val="00AE77E5"/>
    <w:rsid w:val="00B07BFB"/>
    <w:rsid w:val="00B110A0"/>
    <w:rsid w:val="00B137F3"/>
    <w:rsid w:val="00B156A3"/>
    <w:rsid w:val="00B165F2"/>
    <w:rsid w:val="00B21412"/>
    <w:rsid w:val="00B23313"/>
    <w:rsid w:val="00B3543E"/>
    <w:rsid w:val="00B42689"/>
    <w:rsid w:val="00B70A33"/>
    <w:rsid w:val="00B74585"/>
    <w:rsid w:val="00B830F8"/>
    <w:rsid w:val="00B942E0"/>
    <w:rsid w:val="00B96FB7"/>
    <w:rsid w:val="00BB7AA8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AE3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2259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A69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2506D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ashaghashvil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7BBB-34AC-40A0-938A-12D4674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Mikheil Iashaghashvili</cp:lastModifiedBy>
  <cp:revision>86</cp:revision>
  <cp:lastPrinted>2016-06-17T13:25:00Z</cp:lastPrinted>
  <dcterms:created xsi:type="dcterms:W3CDTF">2016-07-21T15:20:00Z</dcterms:created>
  <dcterms:modified xsi:type="dcterms:W3CDTF">2018-08-13T13:48:00Z</dcterms:modified>
</cp:coreProperties>
</file>